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20B3" w14:textId="77777777" w:rsidR="0016619E" w:rsidRDefault="0016619E" w:rsidP="0016619E">
      <w:pPr>
        <w:pStyle w:val="a6"/>
        <w:rPr>
          <w:rFonts w:ascii="Times New Roman" w:hAnsi="Times New Roman"/>
          <w:b/>
          <w:sz w:val="26"/>
        </w:rPr>
      </w:pPr>
    </w:p>
    <w:p w14:paraId="5AF155DB" w14:textId="77777777" w:rsidR="0016619E" w:rsidRDefault="0016619E" w:rsidP="0016619E">
      <w:pPr>
        <w:pStyle w:val="a6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Указания по заполнению формы федерального статистического наблюдения</w:t>
      </w:r>
    </w:p>
    <w:p w14:paraId="7777A2CC" w14:textId="452D6D30" w:rsidR="0016619E" w:rsidRDefault="0016619E" w:rsidP="0016619E">
      <w:pPr>
        <w:ind w:firstLine="720"/>
        <w:jc w:val="both"/>
      </w:pPr>
      <w:r>
        <w:t>. Первичные статистические данные (далее – данные) по форме № 4-кооператив «Сведения о деятельности сельскохозяйственных потребительских кооперативов (за исключением перерабатывающих, снабженческо-сбытовых и кредитных)» (далее – форма) предоставляют юридические лица – сельскохозяйственные потребительские кооперативы (за исключением перерабатывающих, снабженческо-сбытовых и кредитных) (далее – респонденты).</w:t>
      </w:r>
    </w:p>
    <w:p w14:paraId="43AD700F" w14:textId="7AA2A1AA" w:rsidR="0016619E" w:rsidRDefault="0016619E" w:rsidP="0016619E">
      <w:pPr>
        <w:ind w:firstLine="720"/>
        <w:jc w:val="both"/>
        <w:rPr>
          <w:color w:val="FF0000"/>
        </w:rPr>
      </w:pPr>
      <w:r>
        <w:t xml:space="preserve">Данные предоставляют респонденты, имеющие организационно-правовую форму потребительского кооператива и в своем наименовании слова «сельскохозяйственный потребительский кооператив» в соответствии с Федеральным законом от 8 декабря 1995 г. </w:t>
      </w:r>
      <w:r>
        <w:br/>
        <w:t>№ 193-ФЗ «О сельскохозяйственной кооперации» (далее – Федеральный закон № 193-ФЗ</w:t>
      </w:r>
      <w:r>
        <w:t>).</w:t>
      </w:r>
      <w:r>
        <w:rPr>
          <w:color w:val="FF0000"/>
        </w:rPr>
        <w:t xml:space="preserve"> </w:t>
      </w:r>
    </w:p>
    <w:p w14:paraId="6FB0C457" w14:textId="77777777" w:rsidR="0016619E" w:rsidRDefault="0016619E" w:rsidP="0016619E">
      <w:pPr>
        <w:ind w:firstLine="709"/>
        <w:jc w:val="both"/>
      </w:pPr>
      <w:r>
        <w:t>Данные предоставляются в целом по юридическому лицу, то есть по всем обособленным подразделениям</w:t>
      </w:r>
      <w:r>
        <w:rPr>
          <w:vertAlign w:val="superscript"/>
        </w:rPr>
        <w:t xml:space="preserve"> </w:t>
      </w:r>
      <w:r>
        <w:t>организации</w:t>
      </w:r>
      <w:r>
        <w:rPr>
          <w:rStyle w:val="a7"/>
        </w:rPr>
        <w:footnoteReference w:id="1"/>
      </w:r>
      <w:r>
        <w:rPr>
          <w:vertAlign w:val="superscript"/>
        </w:rPr>
        <w:t xml:space="preserve"> </w:t>
      </w:r>
      <w:r>
        <w:t>данного юридического лица независимо от их местонахождения, в сроки, предусмотренные бланком формы.</w:t>
      </w:r>
    </w:p>
    <w:p w14:paraId="6B693616" w14:textId="77777777" w:rsidR="0016619E" w:rsidRDefault="0016619E" w:rsidP="0016619E">
      <w:pPr>
        <w:ind w:firstLine="709"/>
        <w:jc w:val="both"/>
      </w:pPr>
      <w:r>
        <w:rPr>
          <w:color w:val="000000"/>
        </w:rPr>
        <w:t xml:space="preserve">Руководитель юридического лица </w:t>
      </w:r>
      <w:r>
        <w:t>назначает должностных лиц, уполномоченных предоставлять данные от имени юридического лица.</w:t>
      </w:r>
    </w:p>
    <w:p w14:paraId="3E4CED31" w14:textId="77777777" w:rsidR="0016619E" w:rsidRDefault="0016619E" w:rsidP="0016619E">
      <w:pPr>
        <w:ind w:firstLine="709"/>
        <w:jc w:val="both"/>
      </w:pPr>
      <w:r>
        <w:t>Заполненная форма предоставляется в территориальные органы Росстата по месту фактического осуществления деятельности юридического лица.</w:t>
      </w:r>
    </w:p>
    <w:p w14:paraId="28344CBD" w14:textId="77777777" w:rsidR="0016619E" w:rsidRDefault="0016619E" w:rsidP="0016619E">
      <w:pPr>
        <w:pStyle w:val="3"/>
        <w:spacing w:line="240" w:lineRule="auto"/>
        <w:rPr>
          <w:szCs w:val="24"/>
        </w:rPr>
      </w:pPr>
      <w:r>
        <w:rPr>
          <w:szCs w:val="24"/>
        </w:rPr>
        <w:t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7970C3A0" w14:textId="77777777" w:rsidR="0016619E" w:rsidRDefault="0016619E" w:rsidP="0016619E">
      <w:pPr>
        <w:ind w:firstLine="709"/>
        <w:jc w:val="both"/>
      </w:pPr>
      <w: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14:paraId="760DD093" w14:textId="7AC29F2E" w:rsidR="0016619E" w:rsidRDefault="0016619E" w:rsidP="0016619E">
      <w:pPr>
        <w:ind w:firstLine="720"/>
        <w:jc w:val="both"/>
      </w:pPr>
      <w: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14:paraId="0B07968F" w14:textId="77777777" w:rsidR="0016619E" w:rsidRDefault="0016619E" w:rsidP="0016619E">
      <w:pPr>
        <w:ind w:firstLine="720"/>
        <w:jc w:val="both"/>
      </w:pPr>
      <w: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>
        <w:br/>
        <w:t>с юридическим адресом.</w:t>
      </w:r>
    </w:p>
    <w:p w14:paraId="3D27A8DE" w14:textId="77777777" w:rsidR="0016619E" w:rsidRDefault="0016619E" w:rsidP="0016619E">
      <w:pPr>
        <w:ind w:firstLine="720"/>
        <w:jc w:val="both"/>
      </w:pPr>
      <w:r>
        <w:lastRenderedPageBreak/>
        <w:t>В кодовой части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http://websbor.gks.ru/online/info, отчитывающаяся организация проставляет код по Общероссийскому классификатору предприятий и организаций (ОКПО).</w:t>
      </w:r>
    </w:p>
    <w:p w14:paraId="358619FA" w14:textId="17619243" w:rsidR="0016619E" w:rsidRDefault="0016619E" w:rsidP="0016619E">
      <w:pPr>
        <w:ind w:firstLine="720"/>
        <w:jc w:val="both"/>
      </w:pPr>
      <w:r>
        <w:t>По строкам 01</w:t>
      </w:r>
      <w:r>
        <w:sym w:font="Symbol" w:char="F02D"/>
      </w:r>
      <w:r>
        <w:t xml:space="preserve">02 кооперативы отражают сумму паевых взносов членов кооператива и ассоциированных членов кооператива </w:t>
      </w:r>
      <w:r>
        <w:br/>
        <w:t xml:space="preserve">в денежном выражении. Размер паевого фонда должен соответствовать размеру, установленному на собрании членов кооператива. Строка </w:t>
      </w:r>
      <w:r>
        <w:br/>
        <w:t>01 заполняется организацией в обязательном порядке, независимо от того, работало предприятие в отчетном периоде или нет.</w:t>
      </w:r>
    </w:p>
    <w:p w14:paraId="749F50AD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 xml:space="preserve">По строке 03 отражается сумма членских взносов в денежном выражении, оплаченных за обязательное членство в ревизионном союзе в соответствии с Федеральным законом № 193-ФЗ. </w:t>
      </w:r>
    </w:p>
    <w:p w14:paraId="1EE6FA48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 xml:space="preserve">По строке 04 отражается сумма взносов в денежном выражении, внесенных в кооператив последующего уровня, созданный </w:t>
      </w:r>
      <w:r>
        <w:rPr>
          <w:szCs w:val="24"/>
        </w:rPr>
        <w:br/>
        <w:t>в соответствии с Федеральным законом № 193-ФЗ.</w:t>
      </w:r>
    </w:p>
    <w:p w14:paraId="1E1C5255" w14:textId="77777777" w:rsidR="0016619E" w:rsidRDefault="0016619E" w:rsidP="0016619E">
      <w:pPr>
        <w:pStyle w:val="3"/>
        <w:spacing w:line="24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По строке 05 отражается размер резервного фонда, формируемого в соответствии с Федеральным законом № 193-ФЗ и уставом кооператива.</w:t>
      </w:r>
    </w:p>
    <w:p w14:paraId="3F8F46DE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>По строкам 06</w:t>
      </w:r>
      <w:r>
        <w:rPr>
          <w:szCs w:val="24"/>
        </w:rPr>
        <w:sym w:font="Symbol" w:char="F02D"/>
      </w:r>
      <w:r>
        <w:rPr>
          <w:szCs w:val="24"/>
        </w:rPr>
        <w:t xml:space="preserve">15 отражается состав пайщиков кооператива и заполняется на конец отчетного периода. Строка 06 заполняется организацией в обязательном порядке, независимо от того, работало предприятие в отчетном периоде или нет. </w:t>
      </w:r>
    </w:p>
    <w:p w14:paraId="769E9121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>По строке 08 указывается число индивидуальных предпринимателей, кроме глав крестьянских (фермерских) хозяйств.</w:t>
      </w:r>
    </w:p>
    <w:p w14:paraId="3C32A110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 xml:space="preserve">По строке 10 указывается число граждан, прошедших государственную регистрацию в соответствии с Федеральным законом </w:t>
      </w:r>
      <w:r>
        <w:rPr>
          <w:szCs w:val="24"/>
        </w:rPr>
        <w:br/>
        <w:t xml:space="preserve">от 8 августа 2001 г. № 129-ФЗ «О государственной регистрации юридических лиц и индивидуальных предпринимателей» в качестве глав крестьянских (фермерских) хозяйств, осуществляющих предпринимательскую деятельность без образования юридического лица </w:t>
      </w:r>
      <w:r>
        <w:rPr>
          <w:szCs w:val="24"/>
        </w:rPr>
        <w:br/>
        <w:t xml:space="preserve">и являющихся индивидуальными предпринимателями с момента государственной регистрации крестьянского (фермерского) хозяйства </w:t>
      </w:r>
      <w:r>
        <w:rPr>
          <w:szCs w:val="24"/>
        </w:rPr>
        <w:br/>
        <w:t xml:space="preserve">в соответствии с Федеральным законом от 11 июня 2003 г. № 74-ФЗ «О крестьянском (фермерском) хозяйстве». </w:t>
      </w:r>
    </w:p>
    <w:p w14:paraId="7D59C93C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 xml:space="preserve">По строке 11 указывается число крестьянских (фермерских) хозяйств, созданных до введения в действие </w:t>
      </w:r>
      <w:r>
        <w:rPr>
          <w:szCs w:val="24"/>
          <w:lang w:val="en-US"/>
        </w:rPr>
        <w:t>I</w:t>
      </w:r>
      <w:r>
        <w:rPr>
          <w:szCs w:val="24"/>
        </w:rPr>
        <w:t xml:space="preserve"> части Гражданского кодекса Российской Федерации (до 1 января 1995 г.) и зарегистрированных как юридические лица.</w:t>
      </w:r>
    </w:p>
    <w:p w14:paraId="788A0E9C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>Значения понятий настоящих Указаний приведены исключительно в целях заполнения настоящей формы.</w:t>
      </w:r>
    </w:p>
    <w:p w14:paraId="635F74C6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>По строке 12 указывается число юридических лиц, кроме крестьянских (фермерских) хозяйств.</w:t>
      </w:r>
    </w:p>
    <w:p w14:paraId="600FC4BE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>По строкам 16</w:t>
      </w:r>
      <w:r>
        <w:rPr>
          <w:szCs w:val="24"/>
        </w:rPr>
        <w:sym w:font="Symbol" w:char="F02D"/>
      </w:r>
      <w:r>
        <w:rPr>
          <w:szCs w:val="24"/>
        </w:rPr>
        <w:t>17 указывается количество новых членов кооператива за период с начала отчетного года из числа граждан, ведущих личное подсобное хозяйство; субъектов малого и среднего предпринимательства в агропромышленном комплексе (далее – АПК), включая крестьянские (фермерские) хозяйства.</w:t>
      </w:r>
    </w:p>
    <w:p w14:paraId="57FB8DAE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t>По строке 17 указывается число юридических лиц и индивидуальных предпринимателей, а также крестьянских (фермерских) хозяйств, соответствующих условиям, установленным Федеральным законом от 24 июля 2007 г. № 209-ФЗ «О развитии малого и среднего предпринимательства в Российской Федерации», и с основным видом деятельности, включенным в группировку согласно приказу Министерства сельского хозяйства Российской Федерации от 29 апреля 2016 г. № 168 «Об утверждении собирательных классификационных группировок "Агропромышленный комплекс"» (зарегистрирован в Минюсте России 18 июля 2016 г., регистрационный № 42891).</w:t>
      </w:r>
    </w:p>
    <w:p w14:paraId="68773230" w14:textId="77777777" w:rsidR="0016619E" w:rsidRDefault="0016619E" w:rsidP="0016619E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По строке 18 отражается стоимость основных фондов </w:t>
      </w:r>
      <w:r>
        <w:rPr>
          <w:szCs w:val="24"/>
        </w:rPr>
        <w:sym w:font="Symbol" w:char="F02D"/>
      </w:r>
      <w:r>
        <w:rPr>
          <w:szCs w:val="24"/>
        </w:rPr>
        <w:t xml:space="preserve"> произведенных активов, подлежащих использованию неоднократно </w:t>
      </w:r>
      <w:r>
        <w:rPr>
          <w:szCs w:val="24"/>
        </w:rPr>
        <w:br/>
        <w:t xml:space="preserve">или постоянно в течение длительного периода, но не менее одного года, для производства товаров, оказания рыночных и нерыночных услуг, для управленческих нужд организации, либо для предоставления другим организациям за плату во временное владение или пользование. </w:t>
      </w:r>
      <w:r>
        <w:rPr>
          <w:szCs w:val="24"/>
        </w:rPr>
        <w:br/>
        <w:t>К основным фондам относятся: здания, сооружения, машины и оборудование, транспортные средства, рабочий и продуктивный скот, многолетние насаждения и другие виды основных фондов. По строке также отражаются арендованные и/или предоставленные в аренду (лизинг) основные фонды, если по условиям договора аренды (лизинга) эти основные фонды учитываются кооперативом на счете по учету основных средств.</w:t>
      </w:r>
    </w:p>
    <w:p w14:paraId="3FCD3D72" w14:textId="77777777" w:rsidR="0016619E" w:rsidRDefault="0016619E" w:rsidP="0016619E">
      <w:pPr>
        <w:ind w:firstLine="720"/>
        <w:jc w:val="both"/>
      </w:pPr>
      <w:r>
        <w:t xml:space="preserve">По строке 19 отражаются данные в стоимостном выражении о количестве поступившей сельскохозяйственной продукции </w:t>
      </w:r>
      <w:r>
        <w:br/>
        <w:t xml:space="preserve">для переработки и/или последующей продажи с начала отчетного года, включая продукцию, произведенную членами кооператива. При этом </w:t>
      </w:r>
      <w:r>
        <w:br/>
        <w:t>в объем поступившей продукции включается как продукция, закупленная для последующей переработки (продажи), так и продукция, переданная сельскохозяйственному потребительскому кооперативу для переработки (реализации) по договорам комиссии (поручения) либо агентским договорам.</w:t>
      </w:r>
    </w:p>
    <w:p w14:paraId="3FBB085E" w14:textId="77777777" w:rsidR="0016619E" w:rsidRDefault="0016619E" w:rsidP="0016619E">
      <w:pPr>
        <w:ind w:firstLine="720"/>
        <w:jc w:val="both"/>
        <w:rPr>
          <w:lang w:val="ru-MD"/>
        </w:rPr>
      </w:pPr>
      <w:r>
        <w:t>По строке 20 отражается объем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</w:r>
      <w:r>
        <w:rPr>
          <w:lang w:val="ru-MD"/>
        </w:rPr>
        <w:t>,</w:t>
      </w:r>
      <w:r>
        <w:t xml:space="preserve">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</w:t>
      </w:r>
      <w:r>
        <w:rPr>
          <w:lang w:val="ru-MD"/>
        </w:rPr>
        <w:t>.</w:t>
      </w:r>
    </w:p>
    <w:p w14:paraId="053CE2B5" w14:textId="77777777" w:rsidR="0016619E" w:rsidRDefault="0016619E" w:rsidP="0016619E">
      <w:pPr>
        <w:ind w:firstLine="720"/>
        <w:jc w:val="both"/>
      </w:pPr>
      <w:r>
        <w:t>Продукция собственного производства, использованная для внутрихозяйственного потребления (например, зерно, пошедшее на семена и корм скоту и птице, инструменты, изготовленные для собственного использования) по указанной строке не показывается.</w:t>
      </w:r>
    </w:p>
    <w:p w14:paraId="0BD1E418" w14:textId="77777777" w:rsidR="0016619E" w:rsidRDefault="0016619E" w:rsidP="0016619E">
      <w:pPr>
        <w:ind w:firstLine="720"/>
        <w:jc w:val="both"/>
      </w:pPr>
      <w:r>
        <w:t xml:space="preserve">Объем отгруженных товаров представляет собой стоимость всех товаров, произведенных кооперативом, выполненных работ </w:t>
      </w:r>
      <w:r>
        <w:br/>
        <w:t xml:space="preserve">и оказанных услуг, и фактически отгруженных (переданных) в отчетном периоде на сторону, включая товары, сданные по акту заказчику </w:t>
      </w:r>
      <w:r>
        <w:br/>
        <w:t>на месте, независимо от того, поступили деньги на счет продавца или нет.</w:t>
      </w:r>
    </w:p>
    <w:p w14:paraId="0E2811E3" w14:textId="77777777" w:rsidR="0016619E" w:rsidRDefault="0016619E" w:rsidP="0016619E">
      <w:pPr>
        <w:ind w:firstLine="720"/>
        <w:jc w:val="both"/>
      </w:pPr>
      <w:r>
        <w:t>Моментом отгрузки считается:</w:t>
      </w:r>
    </w:p>
    <w:p w14:paraId="3242E88A" w14:textId="77777777" w:rsidR="0016619E" w:rsidRDefault="0016619E" w:rsidP="0016619E">
      <w:pPr>
        <w:ind w:firstLine="720"/>
        <w:jc w:val="both"/>
      </w:pPr>
      <w:r>
        <w:t>при отгрузке товара иногороднему получателю – дата сдачи его органу транспорта или связи, определяемая датой на документе, (товарно-транспортная накладная, счет-фактура, железнодорожная квитанция, путевой лист и так далее), удостоверяющем факт приема груза к перевозке транспортной организацией или документе органа связи;</w:t>
      </w:r>
    </w:p>
    <w:p w14:paraId="4BDFBD04" w14:textId="77777777" w:rsidR="0016619E" w:rsidRDefault="0016619E" w:rsidP="0016619E">
      <w:pPr>
        <w:ind w:firstLine="720"/>
        <w:jc w:val="both"/>
      </w:pPr>
      <w:r>
        <w:t xml:space="preserve">при сдаче товара на складе покупателя или продавца </w:t>
      </w:r>
      <w:r>
        <w:sym w:font="Symbol" w:char="F02D"/>
      </w:r>
      <w:r>
        <w:t xml:space="preserve"> дата акта сдачи товара на месте или подписания покупателем документов, подтверждающих получение товара;</w:t>
      </w:r>
    </w:p>
    <w:p w14:paraId="616315D9" w14:textId="77777777" w:rsidR="0016619E" w:rsidRDefault="0016619E" w:rsidP="0016619E">
      <w:pPr>
        <w:ind w:firstLine="720"/>
        <w:jc w:val="both"/>
      </w:pPr>
      <w:r>
        <w:t xml:space="preserve">при продаже товаров собственного производства в порядке розничной торговли </w:t>
      </w:r>
      <w:r>
        <w:sym w:font="Symbol" w:char="F02D"/>
      </w:r>
      <w:r>
        <w:t xml:space="preserve"> дата продажи. </w:t>
      </w:r>
    </w:p>
    <w:p w14:paraId="314A060B" w14:textId="77777777" w:rsidR="0016619E" w:rsidRDefault="0016619E" w:rsidP="0016619E">
      <w:pPr>
        <w:ind w:firstLine="720"/>
        <w:jc w:val="both"/>
      </w:pPr>
      <w:r>
        <w:t xml:space="preserve">Стоимость товаров, принятых покупателем и оплаченных им, но оставленных в виде исключения на ответственном хранении </w:t>
      </w:r>
      <w:r>
        <w:br/>
        <w:t>у продавца, включается в объем отгруженных товаров.</w:t>
      </w:r>
    </w:p>
    <w:p w14:paraId="7FD69029" w14:textId="77777777" w:rsidR="0016619E" w:rsidRDefault="0016619E" w:rsidP="0016619E">
      <w:pPr>
        <w:ind w:firstLine="720"/>
        <w:jc w:val="both"/>
      </w:pPr>
      <w:r>
        <w:t>Продукция собственного производства, проданная населению через торговые заведения кооператива или с оплатой через свою кассу, показывается по строке 20 по продажным ценам.</w:t>
      </w:r>
    </w:p>
    <w:p w14:paraId="65656FA0" w14:textId="77777777" w:rsidR="0016619E" w:rsidRDefault="0016619E" w:rsidP="0016619E">
      <w:pPr>
        <w:ind w:firstLine="720"/>
        <w:jc w:val="both"/>
      </w:pPr>
      <w:r>
        <w:lastRenderedPageBreak/>
        <w:t xml:space="preserve">Продукция, выработанная из давальческого сырья (сырья и материалов заказчика, не оплачиваемых изготовителем), включается изготовителем в объем отгруженных товаров собственного производства, работ и услуг, выполненных собственными силами, по стоимости обработки, то есть без стоимости сырья и материалов заказчика.  </w:t>
      </w:r>
    </w:p>
    <w:p w14:paraId="7F783B57" w14:textId="77777777" w:rsidR="0016619E" w:rsidRDefault="0016619E" w:rsidP="0016619E">
      <w:pPr>
        <w:ind w:firstLine="720"/>
        <w:jc w:val="both"/>
      </w:pPr>
      <w:r>
        <w:t xml:space="preserve">Кооперативы – собственники сырья, размещающие заказы на его переработку на других предприятиях и реализующие готовую продукцию, по строке 20 отражают объем отгруженных товаров, произведенных из их собственного сырья по их заказам другими предприятиями. </w:t>
      </w:r>
    </w:p>
    <w:p w14:paraId="4289803A" w14:textId="77777777" w:rsidR="0016619E" w:rsidRDefault="0016619E" w:rsidP="0016619E">
      <w:pPr>
        <w:ind w:firstLine="720"/>
        <w:jc w:val="both"/>
        <w:rPr>
          <w:color w:val="000000"/>
        </w:rPr>
      </w:pPr>
      <w:r>
        <w:rPr>
          <w:color w:val="000000"/>
        </w:rPr>
        <w:t>Подробная информация о заполнении данных по указанному показателю приведена в Указаниях по заполнению форм федерального статистического наблюдения №№ П-1 – П-4, П-5 (м), размещенных на официальном сайте Росстата в информационно-телекоммуникационной сети «Интернет» по адресу: https://rosstat.gov.ru/ Главная страница / Респондентам / Формы федерального статистического наблюдения и формы бухгалтерской (финансовой) отчетности /Альбом форм федерального статистического наблюдения / Поиск по формам (П-1 – П-4, П-5 (м)).</w:t>
      </w:r>
    </w:p>
    <w:p w14:paraId="30090238" w14:textId="77777777" w:rsidR="0016619E" w:rsidRDefault="0016619E" w:rsidP="0016619E">
      <w:pPr>
        <w:ind w:firstLine="720"/>
        <w:jc w:val="both"/>
      </w:pPr>
      <w:r>
        <w:t xml:space="preserve">По строке 21 отражается объем выручки от реализации товаров (работ, услуг) от несельскохозяйственной деятельности за период </w:t>
      </w:r>
      <w:r>
        <w:br/>
        <w:t>с начала года.</w:t>
      </w:r>
    </w:p>
    <w:p w14:paraId="64A6ED51" w14:textId="77777777" w:rsidR="0016619E" w:rsidRDefault="0016619E" w:rsidP="0016619E">
      <w:pPr>
        <w:ind w:firstLine="720"/>
        <w:jc w:val="both"/>
      </w:pPr>
      <w:r>
        <w:t>По строкам 22</w:t>
      </w:r>
      <w:r>
        <w:sym w:font="Symbol" w:char="F02D"/>
      </w:r>
      <w:r>
        <w:t>24 отражается сумма задолженности по полученным кредитам банков и займам, с учетом причитающихся процентов.</w:t>
      </w:r>
    </w:p>
    <w:p w14:paraId="72EB277F" w14:textId="77777777" w:rsidR="0016619E" w:rsidRDefault="0016619E" w:rsidP="0016619E">
      <w:pPr>
        <w:ind w:firstLine="708"/>
        <w:jc w:val="both"/>
        <w:rPr>
          <w:sz w:val="22"/>
        </w:rPr>
      </w:pPr>
      <w:r>
        <w:rPr>
          <w:szCs w:val="24"/>
        </w:rPr>
        <w:t>Источником формирования данных по форме являются первичные учетные документы, определенные руководителем экономического субъекта по предоставлению должностного лица, на которое возложено ведение бухгалтерского учета.</w:t>
      </w:r>
    </w:p>
    <w:p w14:paraId="425722A1" w14:textId="77777777" w:rsidR="0016619E" w:rsidRDefault="0016619E" w:rsidP="0016619E">
      <w:pPr>
        <w:spacing w:before="120"/>
        <w:rPr>
          <w:b/>
        </w:rPr>
      </w:pPr>
      <w:r>
        <w:rPr>
          <w:b/>
        </w:rPr>
        <w:t>Логический контроль:</w:t>
      </w:r>
    </w:p>
    <w:p w14:paraId="23D85F1E" w14:textId="77777777" w:rsidR="0016619E" w:rsidRDefault="0016619E" w:rsidP="0016619E">
      <w:pPr>
        <w:ind w:left="360"/>
        <w:rPr>
          <w:sz w:val="22"/>
        </w:rPr>
      </w:pPr>
    </w:p>
    <w:p w14:paraId="3EC5D991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</w:t>
      </w:r>
      <w:proofErr w:type="gramStart"/>
      <w:r>
        <w:rPr>
          <w:sz w:val="22"/>
        </w:rPr>
        <w:t>01 &gt;</w:t>
      </w:r>
      <w:proofErr w:type="gramEnd"/>
      <w:r>
        <w:rPr>
          <w:sz w:val="22"/>
        </w:rPr>
        <w:t xml:space="preserve"> 0;</w:t>
      </w:r>
    </w:p>
    <w:p w14:paraId="47385715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01 </w:t>
      </w:r>
      <w:r>
        <w:rPr>
          <w:sz w:val="22"/>
        </w:rPr>
        <w:sym w:font="Symbol" w:char="F0B3"/>
      </w:r>
      <w:r>
        <w:rPr>
          <w:sz w:val="22"/>
        </w:rPr>
        <w:t xml:space="preserve"> стр. 02;</w:t>
      </w:r>
    </w:p>
    <w:p w14:paraId="57719E70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</w:t>
      </w:r>
      <w:proofErr w:type="gramStart"/>
      <w:r>
        <w:rPr>
          <w:sz w:val="22"/>
        </w:rPr>
        <w:t>06 &gt;</w:t>
      </w:r>
      <w:proofErr w:type="gramEnd"/>
      <w:r>
        <w:rPr>
          <w:sz w:val="22"/>
        </w:rPr>
        <w:t xml:space="preserve"> 0;</w:t>
      </w:r>
    </w:p>
    <w:p w14:paraId="3CD81869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06 </w:t>
      </w:r>
      <w:r>
        <w:rPr>
          <w:sz w:val="22"/>
        </w:rPr>
        <w:sym w:font="Symbol" w:char="F0B3"/>
      </w:r>
      <w:r>
        <w:rPr>
          <w:sz w:val="22"/>
        </w:rPr>
        <w:t xml:space="preserve"> стр. (07 + 08 + 10 +11 + 12);</w:t>
      </w:r>
    </w:p>
    <w:p w14:paraId="492D594C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08 </w:t>
      </w:r>
      <w:r>
        <w:rPr>
          <w:sz w:val="22"/>
        </w:rPr>
        <w:sym w:font="Symbol" w:char="F0B3"/>
      </w:r>
      <w:r>
        <w:rPr>
          <w:sz w:val="22"/>
        </w:rPr>
        <w:t xml:space="preserve"> стр. 09;</w:t>
      </w:r>
    </w:p>
    <w:p w14:paraId="6BC79AB0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12 </w:t>
      </w:r>
      <w:r>
        <w:rPr>
          <w:sz w:val="22"/>
        </w:rPr>
        <w:sym w:font="Symbol" w:char="F0B3"/>
      </w:r>
      <w:r>
        <w:rPr>
          <w:sz w:val="22"/>
        </w:rPr>
        <w:t xml:space="preserve"> стр. 13;</w:t>
      </w:r>
    </w:p>
    <w:p w14:paraId="63864939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12 </w:t>
      </w:r>
      <w:r>
        <w:rPr>
          <w:sz w:val="22"/>
        </w:rPr>
        <w:sym w:font="Symbol" w:char="F0B3"/>
      </w:r>
      <w:r>
        <w:rPr>
          <w:sz w:val="22"/>
        </w:rPr>
        <w:t xml:space="preserve"> стр. 14;</w:t>
      </w:r>
    </w:p>
    <w:p w14:paraId="31B3F024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14 </w:t>
      </w:r>
      <w:r>
        <w:rPr>
          <w:sz w:val="22"/>
        </w:rPr>
        <w:sym w:font="Symbol" w:char="F0B3"/>
      </w:r>
      <w:r>
        <w:rPr>
          <w:sz w:val="22"/>
        </w:rPr>
        <w:t xml:space="preserve"> стр. 15;</w:t>
      </w:r>
    </w:p>
    <w:p w14:paraId="5F106626" w14:textId="77777777" w:rsidR="0016619E" w:rsidRDefault="0016619E" w:rsidP="0016619E">
      <w:pPr>
        <w:ind w:left="360"/>
        <w:rPr>
          <w:sz w:val="22"/>
        </w:rPr>
      </w:pPr>
      <w:r>
        <w:rPr>
          <w:sz w:val="22"/>
        </w:rPr>
        <w:t xml:space="preserve">Стр. 22 </w:t>
      </w:r>
      <w:r>
        <w:rPr>
          <w:sz w:val="22"/>
        </w:rPr>
        <w:sym w:font="Symbol" w:char="F0B3"/>
      </w:r>
      <w:r>
        <w:rPr>
          <w:sz w:val="22"/>
        </w:rPr>
        <w:t xml:space="preserve"> стр. (23 + 24).</w:t>
      </w:r>
    </w:p>
    <w:p w14:paraId="2B47A813" w14:textId="77777777" w:rsidR="00035147" w:rsidRDefault="00035147"/>
    <w:sectPr w:rsidR="00035147" w:rsidSect="004C6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6746" w14:textId="77777777" w:rsidR="0016619E" w:rsidRDefault="0016619E" w:rsidP="0016619E">
      <w:r>
        <w:separator/>
      </w:r>
    </w:p>
  </w:endnote>
  <w:endnote w:type="continuationSeparator" w:id="0">
    <w:p w14:paraId="3AED4252" w14:textId="77777777" w:rsidR="0016619E" w:rsidRDefault="0016619E" w:rsidP="0016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A74B" w14:textId="77777777" w:rsidR="0016619E" w:rsidRDefault="0016619E" w:rsidP="0016619E">
      <w:r>
        <w:separator/>
      </w:r>
    </w:p>
  </w:footnote>
  <w:footnote w:type="continuationSeparator" w:id="0">
    <w:p w14:paraId="19F17A10" w14:textId="77777777" w:rsidR="0016619E" w:rsidRDefault="0016619E" w:rsidP="0016619E">
      <w:r>
        <w:continuationSeparator/>
      </w:r>
    </w:p>
  </w:footnote>
  <w:footnote w:id="1">
    <w:p w14:paraId="132BAE2D" w14:textId="77777777" w:rsidR="0016619E" w:rsidRDefault="0016619E" w:rsidP="0016619E">
      <w:pPr>
        <w:pStyle w:val="a3"/>
        <w:ind w:firstLine="709"/>
        <w:jc w:val="both"/>
      </w:pPr>
      <w:r>
        <w:rPr>
          <w:rStyle w:val="a7"/>
        </w:rPr>
        <w:footnoteRef/>
      </w:r>
      <w:r>
        <w:t xml:space="preserve"> Обособленное подразделение организации </w:t>
      </w:r>
      <w:r>
        <w:sym w:font="Symbol" w:char="F02D"/>
      </w:r>
      <w: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>
        <w:br/>
        <w:t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9E"/>
    <w:rsid w:val="00035147"/>
    <w:rsid w:val="0016619E"/>
    <w:rsid w:val="004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DA092"/>
  <w15:chartTrackingRefBased/>
  <w15:docId w15:val="{EBFBEC40-6D07-4C9C-A472-C8DB627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1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Знак1 Знак1,Заг1 Знак1"/>
    <w:basedOn w:val="a0"/>
    <w:link w:val="a6"/>
    <w:semiHidden/>
    <w:locked/>
    <w:rsid w:val="0016619E"/>
    <w:rPr>
      <w:rFonts w:ascii="Arial" w:hAnsi="Arial" w:cs="Arial"/>
    </w:rPr>
  </w:style>
  <w:style w:type="paragraph" w:styleId="a6">
    <w:name w:val="Body Text"/>
    <w:aliases w:val="Знак1,Заг1"/>
    <w:basedOn w:val="a"/>
    <w:link w:val="a5"/>
    <w:semiHidden/>
    <w:unhideWhenUsed/>
    <w:rsid w:val="0016619E"/>
    <w:pPr>
      <w:widowControl w:val="0"/>
      <w:spacing w:after="12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6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6619E"/>
    <w:pPr>
      <w:spacing w:line="246" w:lineRule="exact"/>
      <w:ind w:firstLine="709"/>
      <w:jc w:val="both"/>
    </w:pPr>
    <w:rPr>
      <w:rFonts w:eastAsia="MS Mincho"/>
    </w:rPr>
  </w:style>
  <w:style w:type="character" w:customStyle="1" w:styleId="30">
    <w:name w:val="Основной текст с отступом 3 Знак"/>
    <w:basedOn w:val="a0"/>
    <w:link w:val="3"/>
    <w:semiHidden/>
    <w:rsid w:val="0016619E"/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166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Воробьева Елена Николаевна</cp:lastModifiedBy>
  <cp:revision>1</cp:revision>
  <dcterms:created xsi:type="dcterms:W3CDTF">2023-12-27T08:08:00Z</dcterms:created>
  <dcterms:modified xsi:type="dcterms:W3CDTF">2023-12-27T08:28:00Z</dcterms:modified>
</cp:coreProperties>
</file>